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82" w:rsidRPr="00FA5E82" w:rsidRDefault="00FA5E82" w:rsidP="00FA5E82">
      <w:pPr>
        <w:rPr>
          <w:rFonts w:ascii="仿宋_GB2312" w:eastAsia="仿宋_GB2312" w:hint="eastAsia"/>
          <w:sz w:val="32"/>
          <w:szCs w:val="32"/>
        </w:rPr>
      </w:pPr>
      <w:r w:rsidRPr="00FA5E82">
        <w:rPr>
          <w:rFonts w:ascii="仿宋_GB2312" w:eastAsia="仿宋_GB2312" w:hint="eastAsia"/>
          <w:sz w:val="32"/>
          <w:szCs w:val="32"/>
        </w:rPr>
        <w:t>政法委国有资产占有情况说明</w:t>
      </w:r>
    </w:p>
    <w:p w:rsidR="00FA5E82" w:rsidRPr="00FA5E82" w:rsidRDefault="00FA5E82" w:rsidP="00FA5E82">
      <w:pPr>
        <w:rPr>
          <w:rFonts w:ascii="仿宋_GB2312" w:eastAsia="仿宋_GB2312" w:hint="eastAsia"/>
          <w:sz w:val="32"/>
          <w:szCs w:val="32"/>
        </w:rPr>
      </w:pPr>
      <w:r w:rsidRPr="00FA5E82">
        <w:rPr>
          <w:rFonts w:ascii="仿宋_GB2312" w:eastAsia="仿宋_GB2312" w:hint="eastAsia"/>
          <w:sz w:val="32"/>
          <w:szCs w:val="32"/>
        </w:rPr>
        <w:t xml:space="preserve">　2020年初银州区委政法委部门共有车辆 1辆，其中：一般公务用车1 辆，一般执法执勤用车 0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辆，特种专业技术用车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0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辆，其他用车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0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辆；单位价值50万元以上设备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0台,单价100万元以上专用设备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 xml:space="preserve">0 </w:t>
      </w:r>
      <w:r w:rsidRPr="00FA5E82">
        <w:rPr>
          <w:rFonts w:eastAsia="仿宋_GB2312" w:hint="eastAsia"/>
          <w:sz w:val="32"/>
          <w:szCs w:val="32"/>
        </w:rPr>
        <w:t> </w:t>
      </w:r>
      <w:r w:rsidRPr="00FA5E82">
        <w:rPr>
          <w:rFonts w:ascii="仿宋_GB2312" w:eastAsia="仿宋_GB2312" w:hint="eastAsia"/>
          <w:sz w:val="32"/>
          <w:szCs w:val="32"/>
        </w:rPr>
        <w:t>台。</w:t>
      </w:r>
    </w:p>
    <w:p w:rsidR="00FA5E82" w:rsidRDefault="00FA5E82" w:rsidP="00FA5E82">
      <w:pPr>
        <w:rPr>
          <w:rFonts w:ascii="仿宋_GB2312" w:eastAsia="仿宋_GB2312" w:hint="eastAsia"/>
          <w:sz w:val="32"/>
          <w:szCs w:val="32"/>
        </w:rPr>
      </w:pPr>
    </w:p>
    <w:p w:rsidR="00FA5E82" w:rsidRPr="00FA5E82" w:rsidRDefault="00FA5E82" w:rsidP="00FA5E82">
      <w:pPr>
        <w:rPr>
          <w:rFonts w:ascii="仿宋_GB2312" w:eastAsia="仿宋_GB2312" w:hint="eastAsia"/>
          <w:sz w:val="32"/>
          <w:szCs w:val="32"/>
        </w:rPr>
      </w:pPr>
      <w:r w:rsidRPr="00FA5E82">
        <w:rPr>
          <w:rFonts w:ascii="仿宋_GB2312" w:eastAsia="仿宋_GB2312" w:hint="eastAsia"/>
          <w:sz w:val="32"/>
          <w:szCs w:val="32"/>
        </w:rPr>
        <w:t>重点项目预算的绩效目标情况说明</w:t>
      </w:r>
    </w:p>
    <w:p w:rsidR="005F31A6" w:rsidRPr="00FA5E82" w:rsidRDefault="00FA5E82" w:rsidP="00FA5E82">
      <w:pPr>
        <w:rPr>
          <w:rFonts w:ascii="仿宋_GB2312" w:eastAsia="仿宋_GB2312" w:hint="eastAsia"/>
          <w:sz w:val="32"/>
          <w:szCs w:val="32"/>
        </w:rPr>
      </w:pPr>
      <w:r w:rsidRPr="00FA5E82">
        <w:rPr>
          <w:rFonts w:ascii="仿宋_GB2312" w:eastAsia="仿宋_GB2312" w:hint="eastAsia"/>
          <w:sz w:val="32"/>
          <w:szCs w:val="32"/>
        </w:rPr>
        <w:t>区委政法委在项目、时间及责任人上明确了主体责任，规范了工作内容，合理安排分配资金，使有限的财政资金发挥更大的效益。</w:t>
      </w:r>
    </w:p>
    <w:sectPr w:rsidR="005F31A6" w:rsidRPr="00FA5E82" w:rsidSect="005F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E82"/>
    <w:rsid w:val="005F31A6"/>
    <w:rsid w:val="00FA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2021-05-31T06:49:00Z</dcterms:created>
  <dcterms:modified xsi:type="dcterms:W3CDTF">2021-05-31T06:50:00Z</dcterms:modified>
</cp:coreProperties>
</file>