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银州区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中央生态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环境保护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督察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已销号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群众举报问题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的查处情况公示汇总</w:t>
      </w:r>
    </w:p>
    <w:tbl>
      <w:tblPr>
        <w:tblStyle w:val="5"/>
        <w:tblW w:w="14953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905"/>
        <w:gridCol w:w="5211"/>
        <w:gridCol w:w="1958"/>
        <w:gridCol w:w="3237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受理编号</w:t>
            </w:r>
          </w:p>
        </w:tc>
        <w:tc>
          <w:tcPr>
            <w:tcW w:w="52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举报内容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整改情况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网站及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D2LN202104080019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烟草家属楼27栋后院下水主管道返污水，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铁岭市银州区人民政府官方网站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日至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日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D2LN202104110060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驻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跸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园小区路面破损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下水井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污水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外溢，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气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D2LN202104120078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广裕路16号楼下水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管溢污水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气味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D2LN202104140027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县医院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内垃圾堆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存（污水）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X2LN202104150049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长青园一期3、4、5号楼前路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面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破损，扬尘扰民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小区内化粪池污水外溢，异味扰民。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X2LN202104160051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老县医院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"/>
              </w:rPr>
              <w:t>问题同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04140027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X2LN202104160050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"/>
              </w:rPr>
              <w:t>长青园问题同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04150049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D2LN202104160008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老县医院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"/>
              </w:rPr>
              <w:t>问题同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04140027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04160051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D2LN202104200002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枫情水岸物业将55号楼西侧粪池内粪便打捞至绿化空地，异味扰民。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D2LN202104210005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市府路6号楼下水堵塞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污水外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溢，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气味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D2LN202104240055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繁荣小区电视台家属楼院内，垃圾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堆存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，下水井返脏水，扬尘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异味扰民。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X2LN202104270090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北五路居民区附近垃圾堆放，异味扰民。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D2LN202104280028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陆平机器厂11-4号楼内返脏水，异味扰民。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D2LN202104300045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北窑社区生活垃圾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堆存问题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D2LN202105030047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荣街南段30栋小区化粪池污水外溢。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D2LN202104130068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小桥子电业局小区13号楼一熟食加工点异味扰民。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D2LN202104200045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电业小区13号楼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"/>
              </w:rPr>
              <w:t>问题同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04130068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X2LN202104210017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鼎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烧烤油烟扰民。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X2LN202104230010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一景酒店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李先生牛肉面、碗碗香饭店油烟异味扰民。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D2LN202104250005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电业小区13号楼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"/>
              </w:rPr>
              <w:t>问题同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04130068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04200045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D2LN202105020033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电业小区13号楼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"/>
              </w:rPr>
              <w:t>问题同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04130068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04200045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04250005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X2LN202104210118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园艺村辽河封育区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养羊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生活垃圾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堆存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污染河流。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铁岭市银州区人民政府官方网站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日至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X2LN202104270089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七里屯村烧烤一条街污水、油烟、废弃物污染环境。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X2LN202104240029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柴山路一豆腐坊污水直排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一奶牛养殖户粪便堆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"/>
              </w:rPr>
              <w:t>存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，异味扰民。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X2LN202104130024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农业科学院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东升种苗、逸添丰木业非法使用燃煤锅炉问题。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26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D2LN202104160009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驻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"/>
              </w:rPr>
              <w:t>跸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园小区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32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号楼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单元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701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bidi="ar"/>
              </w:rPr>
              <w:t>号中国铁塔公司信号基站噪音扰民。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X2LN202104240025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铁岭污水处理厂污水直排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D2LN202105020048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银泰活力城污水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泵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站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居民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不足10米，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影响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自来水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水质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异味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X2LN202105070049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重点件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选矿药剂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厂污染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园艺村地下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水问题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X2LN202104190040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吉喜牧业污水排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三个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污染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河流等问题。</w:t>
            </w:r>
          </w:p>
        </w:tc>
        <w:tc>
          <w:tcPr>
            <w:tcW w:w="1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铁岭市银州区人民政府官方网站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日至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X2LN202104300004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重点件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吉喜牧业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问题同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04190040</w:t>
            </w:r>
          </w:p>
        </w:tc>
        <w:tc>
          <w:tcPr>
            <w:tcW w:w="1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X2LN202104150048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驻跸园小区32-36号楼前路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面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破损，扬尘扰民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34号楼对面化粪池污水外溢，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气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味扰民。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铁岭市银州区人民政府官方网站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日至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X2LN202104170016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"/>
              </w:rPr>
              <w:t>驻跸园问题同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04150048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已完成整改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同上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是</w:t>
            </w:r>
          </w:p>
        </w:tc>
      </w:tr>
    </w:tbl>
    <w:p>
      <w:pPr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YWIzMTgyZDJlNTVkY2I1ZjRhNWE1YzRmMDFiNmEifQ=="/>
  </w:docVars>
  <w:rsids>
    <w:rsidRoot w:val="3ADD4E4C"/>
    <w:rsid w:val="27E12397"/>
    <w:rsid w:val="3A5525B2"/>
    <w:rsid w:val="3ADD4E4C"/>
    <w:rsid w:val="57155E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</w:style>
  <w:style w:type="table" w:styleId="5">
    <w:name w:val="Table Grid"/>
    <w:basedOn w:val="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71"/>
    <w:basedOn w:val="3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2544</Words>
  <Characters>3244</Characters>
  <Lines>0</Lines>
  <Paragraphs>0</Paragraphs>
  <TotalTime>0</TotalTime>
  <ScaleCrop>false</ScaleCrop>
  <LinksUpToDate>false</LinksUpToDate>
  <CharactersWithSpaces>3279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2022-12-19T08:17:00Z</dcterms:created>
  <dc:creator>未末</dc:creator>
  <cp:lastModifiedBy>Paul</cp:lastModifiedBy>
  <dcterms:modified xsi:type="dcterms:W3CDTF">2022-12-21T05:10:44Z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F8A0EA289F9C4EC399393CD3FCAFDC0E</vt:lpwstr>
  </property>
</Properties>
</file>